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79"/>
        <w:tblW w:w="11199" w:type="dxa"/>
        <w:tblLook w:val="04A0" w:firstRow="1" w:lastRow="0" w:firstColumn="1" w:lastColumn="0" w:noHBand="0" w:noVBand="1"/>
      </w:tblPr>
      <w:tblGrid>
        <w:gridCol w:w="5670"/>
        <w:gridCol w:w="5529"/>
      </w:tblGrid>
      <w:tr w:rsidR="00460002" w:rsidRPr="00460002" w:rsidTr="001D03AC">
        <w:trPr>
          <w:trHeight w:val="607"/>
        </w:trPr>
        <w:tc>
          <w:tcPr>
            <w:tcW w:w="1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BB" w:rsidRPr="00460002" w:rsidRDefault="00C007B8" w:rsidP="00AC101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002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bookmarkStart w:id="0" w:name="_GoBack"/>
            <w:r w:rsidR="00AC2418">
              <w:rPr>
                <w:rFonts w:ascii="標楷體" w:eastAsia="標楷體" w:hAnsi="標楷體" w:hint="eastAsia"/>
                <w:sz w:val="40"/>
                <w:szCs w:val="40"/>
              </w:rPr>
              <w:t>彰化縣溪州鄉國軍實彈射擊危險影響區域居民生活扶助自治條例</w:t>
            </w:r>
            <w:r w:rsidR="00E3465F" w:rsidRPr="00460002">
              <w:rPr>
                <w:rFonts w:ascii="標楷體" w:eastAsia="標楷體" w:hAnsi="標楷體" w:hint="eastAsia"/>
                <w:sz w:val="40"/>
                <w:szCs w:val="40"/>
              </w:rPr>
              <w:t>逐條說明</w:t>
            </w:r>
            <w:bookmarkEnd w:id="0"/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E3465F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第一條 彰化縣溪州鄉公所(以下簡稱本所)為國軍實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彈射擊公告危險影響區域所在之村里，依據國防部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實彈射擊等訓練勤務造成人民生活影響程度，酌予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捐助睦鄰經費(以下簡稱本經費)，確保國軍戰訓任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務正常實施，維護國防安全及照護地方居民權益，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爰依據國軍訓場睦鄰工作要點(以下簡稱工作要點)</w:t>
            </w:r>
          </w:p>
          <w:p w:rsidR="00F34026" w:rsidRP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第十四點規定制定本自治條例。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F3402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  <w:bCs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立法依據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第二條 本自治條例之主管機關為彰化縣溪州鄉公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  <w:bCs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主管機關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第三條 生活扶助金經費來源為「國防部陸軍司令部</w:t>
            </w:r>
          </w:p>
          <w:p w:rsidR="001D1796" w:rsidRPr="001D03AC" w:rsidRDefault="001D03AC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睦鄰捐助經費」，並經本公所循預算程序辦理。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經費來源。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第四條 本條例係落實工作要點立法精神，於本鄉受</w:t>
            </w:r>
          </w:p>
          <w:p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國軍實彈射擊公告危險影響區域：榮光村、大庄村</w:t>
            </w:r>
          </w:p>
          <w:p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、成功村、西畔村、圳寮村、柑園村、潮洋村、張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厝村等八村(以下稱受補助村別)。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發放對象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732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Pr="009515D3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第五條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受補助村別村民</w:t>
            </w:r>
            <w:r w:rsidR="000C26A2" w:rsidRPr="009515D3">
              <w:rPr>
                <w:rFonts w:ascii="標楷體" w:eastAsia="標楷體" w:hAnsi="標楷體" w:hint="eastAsia"/>
                <w:szCs w:val="24"/>
              </w:rPr>
              <w:t>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以前年度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十二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月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三十一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前在籍滿一個月者為次年度補助對象，外籍配偶亦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得列為補助對象，惟需檢附居留證。受補助村別內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戶籍資料以戶政機關完成登記為準。當年度申領資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格作業規範由本所另訂之。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發放標準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049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第六條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生活扶助金申請以戶為單位，以推派設籍戶</w:t>
            </w:r>
          </w:p>
          <w:p w:rsid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內成年人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人為申請人，惟特殊情事者，由本</w:t>
            </w:r>
            <w:r w:rsidR="00182A53" w:rsidRPr="001D03AC">
              <w:rPr>
                <w:rFonts w:ascii="標楷體" w:eastAsia="標楷體" w:hAnsi="標楷體"/>
                <w:szCs w:val="24"/>
              </w:rPr>
              <w:t>所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認</w:t>
            </w:r>
          </w:p>
          <w:p w:rsidR="001D1796" w:rsidRP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定另以專案辦理。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82A53" w:rsidRPr="001D03AC">
              <w:rPr>
                <w:rFonts w:ascii="標楷體" w:eastAsia="標楷體" w:hAnsi="標楷體" w:hint="eastAsia"/>
                <w:b/>
                <w:bCs/>
              </w:rPr>
              <w:t>申請方式</w:t>
            </w:r>
            <w:r w:rsidR="00182A53"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661"/>
        </w:trPr>
        <w:tc>
          <w:tcPr>
            <w:tcW w:w="5670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第七條 生活扶助金住戶申請補助項目如下：</w:t>
            </w:r>
          </w:p>
          <w:p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515D3">
              <w:rPr>
                <w:rFonts w:ascii="標楷體" w:eastAsia="標楷體" w:hAnsi="標楷體" w:hint="eastAsia"/>
                <w:szCs w:val="24"/>
              </w:rPr>
              <w:t>一、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家用自來水費。(只限受補助村別內用水)</w:t>
            </w:r>
          </w:p>
          <w:p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二、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家用電費。(只限受補助村別內用電)</w:t>
            </w:r>
          </w:p>
          <w:p w:rsidR="00460002" w:rsidRPr="009515D3" w:rsidRDefault="00460002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三、醫療收據之自付費用。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四、全民健康保險費自付費用。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補助項目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408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第八條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可申領之生活扶助金應提供收(單)據正本，</w:t>
            </w:r>
          </w:p>
          <w:p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期間認定以前年度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三十一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日止。</w:t>
            </w:r>
          </w:p>
          <w:p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pacing w:val="-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申請日期由本所</w:t>
            </w:r>
            <w:r w:rsidR="0065360D" w:rsidRPr="009515D3">
              <w:rPr>
                <w:rFonts w:ascii="標楷體" w:eastAsia="標楷體" w:hAnsi="標楷體" w:hint="eastAsia"/>
                <w:szCs w:val="24"/>
              </w:rPr>
              <w:t>公</w:t>
            </w:r>
            <w:r w:rsidR="0065360D" w:rsidRPr="009515D3">
              <w:rPr>
                <w:rFonts w:ascii="標楷體" w:eastAsia="標楷體" w:hAnsi="標楷體"/>
                <w:szCs w:val="24"/>
              </w:rPr>
              <w:t>告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之(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視當年度國防部核定之執</w:t>
            </w:r>
          </w:p>
          <w:p w:rsidR="001D1796" w:rsidRPr="001D03AC" w:rsidRDefault="001D03AC" w:rsidP="00D43150">
            <w:pPr>
              <w:ind w:left="944" w:hangingChars="400" w:hanging="9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行狀況調整辦理</w:t>
            </w:r>
            <w:r w:rsidR="0065360D" w:rsidRPr="001D03AC">
              <w:rPr>
                <w:rFonts w:ascii="標楷體" w:eastAsia="標楷體" w:hAnsi="標楷體" w:hint="eastAsia"/>
                <w:spacing w:val="-2"/>
                <w:szCs w:val="24"/>
              </w:rPr>
              <w:t>)</w:t>
            </w:r>
            <w:r w:rsidR="00D43150">
              <w:rPr>
                <w:rFonts w:ascii="標楷體" w:eastAsia="標楷體" w:hAnsi="標楷體" w:hint="eastAsia"/>
                <w:szCs w:val="24"/>
              </w:rPr>
              <w:t>，逾時將視同放棄。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應備文件</w:t>
            </w:r>
            <w:r w:rsidR="00747451" w:rsidRPr="001D03AC">
              <w:rPr>
                <w:rFonts w:ascii="標楷體" w:eastAsia="標楷體" w:hAnsi="標楷體" w:hint="eastAsia"/>
                <w:b/>
                <w:bCs/>
              </w:rPr>
              <w:t>及申請期限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第九條 撥款時間為案經國防部審議審定撥款匯入本</w:t>
            </w:r>
          </w:p>
          <w:p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所公庫後再行撥付至申請人帳戶內。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撥款日期。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第十條</w:t>
            </w:r>
            <w:r w:rsidR="001D03A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D03AC">
              <w:rPr>
                <w:rFonts w:ascii="標楷體" w:eastAsia="標楷體" w:hAnsi="標楷體" w:hint="eastAsia"/>
                <w:szCs w:val="24"/>
              </w:rPr>
              <w:t>申請戶有下列情形之一者，撤銷原核准補助</w:t>
            </w:r>
          </w:p>
          <w:p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，並追回其款項：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一、提供不實資料。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二、以詐欺或其他不正當方法取得收(單)據。</w:t>
            </w:r>
          </w:p>
          <w:p w:rsidR="001D1796" w:rsidRPr="001D03AC" w:rsidRDefault="001D03AC" w:rsidP="00D43150">
            <w:pPr>
              <w:tabs>
                <w:tab w:val="left" w:pos="1418"/>
                <w:tab w:val="left" w:pos="15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三、戶籍遷出受補助村別之行政區域。</w:t>
            </w:r>
          </w:p>
          <w:p w:rsidR="00C54B83" w:rsidRDefault="001D03AC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四、空屋、倉庫、工作室、資材室、辦公室、工廠</w:t>
            </w:r>
          </w:p>
          <w:p w:rsidR="00F1556B" w:rsidRDefault="00C54B83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155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、儲藏及其他物品或飼養牲畜等非家用自來水</w:t>
            </w:r>
          </w:p>
          <w:p w:rsidR="001D1796" w:rsidRPr="001D03AC" w:rsidRDefault="00F1556B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費及電費。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lastRenderedPageBreak/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申請人不法申請應負之責任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664"/>
        </w:trPr>
        <w:tc>
          <w:tcPr>
            <w:tcW w:w="5670" w:type="dxa"/>
          </w:tcPr>
          <w:p w:rsidR="00C54B83" w:rsidRDefault="001D1796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lastRenderedPageBreak/>
              <w:t>第十一條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D03AC">
              <w:rPr>
                <w:rFonts w:ascii="標楷體" w:eastAsia="標楷體" w:hAnsi="標楷體" w:hint="eastAsia"/>
                <w:szCs w:val="24"/>
              </w:rPr>
              <w:t>本條例受村補助每年每人補助金額由本所</w:t>
            </w:r>
          </w:p>
          <w:p w:rsidR="00282FBB" w:rsidRPr="001D03AC" w:rsidRDefault="00C54B83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視國防部陸軍司令部核定金額調整之。</w:t>
            </w:r>
          </w:p>
        </w:tc>
        <w:tc>
          <w:tcPr>
            <w:tcW w:w="5529" w:type="dxa"/>
          </w:tcPr>
          <w:p w:rsidR="00282FBB" w:rsidRPr="001D03AC" w:rsidRDefault="001D1796" w:rsidP="00D43150">
            <w:pPr>
              <w:pStyle w:val="Web"/>
              <w:spacing w:after="0"/>
              <w:rPr>
                <w:rFonts w:ascii="標楷體" w:eastAsia="標楷體" w:hAnsi="標楷體" w:cs="Times New Roman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補助金額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670"/>
        </w:trPr>
        <w:tc>
          <w:tcPr>
            <w:tcW w:w="5670" w:type="dxa"/>
          </w:tcPr>
          <w:p w:rsidR="002270E0" w:rsidRP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第十二條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11B6" w:rsidRPr="001D03AC">
              <w:rPr>
                <w:rFonts w:ascii="標楷體" w:eastAsia="標楷體" w:hAnsi="標楷體" w:hint="eastAsia"/>
                <w:szCs w:val="24"/>
              </w:rPr>
              <w:t>本自治條例自公布日施行。</w:t>
            </w:r>
          </w:p>
        </w:tc>
        <w:tc>
          <w:tcPr>
            <w:tcW w:w="5529" w:type="dxa"/>
          </w:tcPr>
          <w:p w:rsidR="002270E0" w:rsidRPr="001D03AC" w:rsidRDefault="009E39E2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D1796" w:rsidRPr="001D03AC">
              <w:rPr>
                <w:rFonts w:ascii="標楷體" w:eastAsia="標楷體" w:hAnsi="標楷體" w:hint="eastAsia"/>
                <w:b/>
                <w:bCs/>
              </w:rPr>
              <w:t>施行日期</w:t>
            </w:r>
            <w:r w:rsidR="001D1796" w:rsidRPr="001D03A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53BA5" w:rsidRPr="00460002" w:rsidRDefault="00453BA5" w:rsidP="00AC1019">
      <w:pPr>
        <w:pStyle w:val="1"/>
        <w:spacing w:line="440" w:lineRule="exact"/>
      </w:pPr>
    </w:p>
    <w:sectPr w:rsidR="00453BA5" w:rsidRPr="00460002" w:rsidSect="00646FB2">
      <w:footerReference w:type="default" r:id="rId9"/>
      <w:pgSz w:w="11906" w:h="16838"/>
      <w:pgMar w:top="720" w:right="397" w:bottom="72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5D" w:rsidRDefault="00A81D5D" w:rsidP="00B7741B">
      <w:r>
        <w:separator/>
      </w:r>
    </w:p>
  </w:endnote>
  <w:endnote w:type="continuationSeparator" w:id="0">
    <w:p w:rsidR="00A81D5D" w:rsidRDefault="00A81D5D" w:rsidP="00B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678200"/>
      <w:docPartObj>
        <w:docPartGallery w:val="Page Numbers (Bottom of Page)"/>
        <w:docPartUnique/>
      </w:docPartObj>
    </w:sdtPr>
    <w:sdtEndPr/>
    <w:sdtContent>
      <w:p w:rsidR="006D33B0" w:rsidRDefault="006D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4D" w:rsidRPr="00550D4D">
          <w:rPr>
            <w:noProof/>
            <w:lang w:val="zh-TW"/>
          </w:rPr>
          <w:t>2</w:t>
        </w:r>
        <w:r>
          <w:fldChar w:fldCharType="end"/>
        </w:r>
      </w:p>
    </w:sdtContent>
  </w:sdt>
  <w:p w:rsidR="006D33B0" w:rsidRDefault="006D33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5D" w:rsidRDefault="00A81D5D" w:rsidP="00B7741B">
      <w:r>
        <w:separator/>
      </w:r>
    </w:p>
  </w:footnote>
  <w:footnote w:type="continuationSeparator" w:id="0">
    <w:p w:rsidR="00A81D5D" w:rsidRDefault="00A81D5D" w:rsidP="00B7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A8C"/>
    <w:multiLevelType w:val="hybridMultilevel"/>
    <w:tmpl w:val="AC386646"/>
    <w:lvl w:ilvl="0" w:tplc="7C9AA2E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E55AD6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E562E"/>
    <w:multiLevelType w:val="hybridMultilevel"/>
    <w:tmpl w:val="940872B2"/>
    <w:lvl w:ilvl="0" w:tplc="3EA254F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E152238"/>
    <w:multiLevelType w:val="hybridMultilevel"/>
    <w:tmpl w:val="D8CA4CA8"/>
    <w:lvl w:ilvl="0" w:tplc="B6BCDDFE">
      <w:start w:val="1"/>
      <w:numFmt w:val="taiwaneseCountingThousand"/>
      <w:suff w:val="space"/>
      <w:lvlText w:val="%1、"/>
      <w:lvlJc w:val="left"/>
      <w:pPr>
        <w:ind w:left="567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2E622C"/>
    <w:multiLevelType w:val="hybridMultilevel"/>
    <w:tmpl w:val="B2BA2160"/>
    <w:lvl w:ilvl="0" w:tplc="35B00B54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69F2E9F"/>
    <w:multiLevelType w:val="hybridMultilevel"/>
    <w:tmpl w:val="F09A0152"/>
    <w:lvl w:ilvl="0" w:tplc="8904E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2B55DF"/>
    <w:multiLevelType w:val="hybridMultilevel"/>
    <w:tmpl w:val="6C36CCCA"/>
    <w:lvl w:ilvl="0" w:tplc="F3DCD3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CEC3854"/>
    <w:multiLevelType w:val="hybridMultilevel"/>
    <w:tmpl w:val="6F7A307C"/>
    <w:lvl w:ilvl="0" w:tplc="F8FC8A66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89121282">
      <w:start w:val="1"/>
      <w:numFmt w:val="taiwaneseCountingThousand"/>
      <w:suff w:val="space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BDD7CC8"/>
    <w:multiLevelType w:val="hybridMultilevel"/>
    <w:tmpl w:val="97449E26"/>
    <w:lvl w:ilvl="0" w:tplc="0A92DA2E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767125E5"/>
    <w:multiLevelType w:val="hybridMultilevel"/>
    <w:tmpl w:val="381AA0AC"/>
    <w:lvl w:ilvl="0" w:tplc="73BE99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D3228DF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0D"/>
    <w:rsid w:val="00036FA0"/>
    <w:rsid w:val="00071F1F"/>
    <w:rsid w:val="000C26A2"/>
    <w:rsid w:val="000F1F47"/>
    <w:rsid w:val="000F65EC"/>
    <w:rsid w:val="00182A53"/>
    <w:rsid w:val="001A175B"/>
    <w:rsid w:val="001C194D"/>
    <w:rsid w:val="001D03AC"/>
    <w:rsid w:val="001D1796"/>
    <w:rsid w:val="00216A9C"/>
    <w:rsid w:val="002201AB"/>
    <w:rsid w:val="002270E0"/>
    <w:rsid w:val="00282FBB"/>
    <w:rsid w:val="00332747"/>
    <w:rsid w:val="00361095"/>
    <w:rsid w:val="003811ED"/>
    <w:rsid w:val="0039286B"/>
    <w:rsid w:val="003B2E14"/>
    <w:rsid w:val="00435047"/>
    <w:rsid w:val="00453BA5"/>
    <w:rsid w:val="00460002"/>
    <w:rsid w:val="00461AFE"/>
    <w:rsid w:val="004E67BE"/>
    <w:rsid w:val="004F0301"/>
    <w:rsid w:val="004F5B99"/>
    <w:rsid w:val="0051472C"/>
    <w:rsid w:val="0053717F"/>
    <w:rsid w:val="00550D4D"/>
    <w:rsid w:val="005725F8"/>
    <w:rsid w:val="005766A9"/>
    <w:rsid w:val="00591F1E"/>
    <w:rsid w:val="005E420E"/>
    <w:rsid w:val="0061165F"/>
    <w:rsid w:val="00620945"/>
    <w:rsid w:val="006420C6"/>
    <w:rsid w:val="00646FB2"/>
    <w:rsid w:val="0065360D"/>
    <w:rsid w:val="006C5AD7"/>
    <w:rsid w:val="006D33B0"/>
    <w:rsid w:val="00710F6D"/>
    <w:rsid w:val="007207F9"/>
    <w:rsid w:val="00722636"/>
    <w:rsid w:val="007331E4"/>
    <w:rsid w:val="00747451"/>
    <w:rsid w:val="00772541"/>
    <w:rsid w:val="0079717D"/>
    <w:rsid w:val="007A3C32"/>
    <w:rsid w:val="007A3C5B"/>
    <w:rsid w:val="007D5333"/>
    <w:rsid w:val="0080026D"/>
    <w:rsid w:val="00831708"/>
    <w:rsid w:val="00864B08"/>
    <w:rsid w:val="00893B52"/>
    <w:rsid w:val="008943AA"/>
    <w:rsid w:val="008B4A7C"/>
    <w:rsid w:val="008C11B6"/>
    <w:rsid w:val="008D3681"/>
    <w:rsid w:val="008E462C"/>
    <w:rsid w:val="008E5537"/>
    <w:rsid w:val="008E7C43"/>
    <w:rsid w:val="0094725A"/>
    <w:rsid w:val="009515D3"/>
    <w:rsid w:val="00962CDD"/>
    <w:rsid w:val="009A6BB6"/>
    <w:rsid w:val="009D1595"/>
    <w:rsid w:val="009E39E2"/>
    <w:rsid w:val="00A25039"/>
    <w:rsid w:val="00A3765F"/>
    <w:rsid w:val="00A546B7"/>
    <w:rsid w:val="00A7617A"/>
    <w:rsid w:val="00A8052D"/>
    <w:rsid w:val="00A81D5D"/>
    <w:rsid w:val="00AC1019"/>
    <w:rsid w:val="00AC2418"/>
    <w:rsid w:val="00AD57D0"/>
    <w:rsid w:val="00B17BE4"/>
    <w:rsid w:val="00B62F0F"/>
    <w:rsid w:val="00B7741B"/>
    <w:rsid w:val="00B832B5"/>
    <w:rsid w:val="00B90129"/>
    <w:rsid w:val="00B91591"/>
    <w:rsid w:val="00B93A93"/>
    <w:rsid w:val="00BF44C6"/>
    <w:rsid w:val="00C007B8"/>
    <w:rsid w:val="00C27EAC"/>
    <w:rsid w:val="00C54B83"/>
    <w:rsid w:val="00C63B74"/>
    <w:rsid w:val="00C87444"/>
    <w:rsid w:val="00CB0D42"/>
    <w:rsid w:val="00CB16A6"/>
    <w:rsid w:val="00CC068F"/>
    <w:rsid w:val="00CD1B79"/>
    <w:rsid w:val="00CE07F0"/>
    <w:rsid w:val="00D02C72"/>
    <w:rsid w:val="00D32BD4"/>
    <w:rsid w:val="00D3513E"/>
    <w:rsid w:val="00D43150"/>
    <w:rsid w:val="00D60CED"/>
    <w:rsid w:val="00D7705E"/>
    <w:rsid w:val="00DB16CF"/>
    <w:rsid w:val="00DC1C22"/>
    <w:rsid w:val="00DD03C7"/>
    <w:rsid w:val="00DD21FF"/>
    <w:rsid w:val="00DF3D86"/>
    <w:rsid w:val="00E3465F"/>
    <w:rsid w:val="00E416D9"/>
    <w:rsid w:val="00E4306C"/>
    <w:rsid w:val="00EA721F"/>
    <w:rsid w:val="00EC1567"/>
    <w:rsid w:val="00EC5523"/>
    <w:rsid w:val="00EE40C7"/>
    <w:rsid w:val="00F0413A"/>
    <w:rsid w:val="00F1556B"/>
    <w:rsid w:val="00F34026"/>
    <w:rsid w:val="00F53469"/>
    <w:rsid w:val="00F5620D"/>
    <w:rsid w:val="00F64626"/>
    <w:rsid w:val="00F966C6"/>
    <w:rsid w:val="00FB4DC8"/>
    <w:rsid w:val="00FC7738"/>
    <w:rsid w:val="00FE11BE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D179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D179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EFFF-E727-4860-8DF0-066B788F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2025-11-21T00:53:00Z</cp:lastPrinted>
  <dcterms:created xsi:type="dcterms:W3CDTF">2025-12-04T02:39:00Z</dcterms:created>
  <dcterms:modified xsi:type="dcterms:W3CDTF">2025-12-04T02:39:00Z</dcterms:modified>
</cp:coreProperties>
</file>